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A426A6" w:rsidTr="00093CCA">
        <w:trPr>
          <w:trHeight w:hRule="exact" w:val="255"/>
        </w:trPr>
        <w:tc>
          <w:tcPr>
            <w:tcW w:w="3258" w:type="dxa"/>
            <w:shd w:val="clear" w:color="auto" w:fill="F2F2F2" w:themeFill="background1" w:themeFillShade="F2"/>
          </w:tcPr>
          <w:p w:rsidR="00145BDA" w:rsidRPr="00A426A6" w:rsidRDefault="00145BDA" w:rsidP="00D3516A">
            <w:pPr>
              <w:tabs>
                <w:tab w:val="left" w:pos="2400"/>
              </w:tabs>
              <w:rPr>
                <w:rFonts w:ascii="Cambria" w:hAnsi="Cambria" w:cs="Times New Roman"/>
                <w:b/>
                <w:color w:val="79133E"/>
                <w:sz w:val="20"/>
                <w:szCs w:val="20"/>
              </w:rPr>
            </w:pPr>
            <w:r w:rsidRPr="00A426A6">
              <w:rPr>
                <w:rFonts w:ascii="Cambria" w:hAnsi="Cambria" w:cs="Times New Roman"/>
                <w:b/>
                <w:color w:val="79133E"/>
                <w:sz w:val="20"/>
                <w:szCs w:val="20"/>
              </w:rPr>
              <w:t>Birim</w:t>
            </w:r>
          </w:p>
        </w:tc>
        <w:tc>
          <w:tcPr>
            <w:tcW w:w="6945" w:type="dxa"/>
          </w:tcPr>
          <w:p w:rsidR="00145BDA" w:rsidRPr="00A426A6" w:rsidRDefault="00C515A8" w:rsidP="002738BA">
            <w:pPr>
              <w:tabs>
                <w:tab w:val="left" w:pos="2400"/>
              </w:tabs>
              <w:rPr>
                <w:rFonts w:ascii="Cambria" w:hAnsi="Cambria" w:cs="Times New Roman"/>
                <w:sz w:val="20"/>
                <w:szCs w:val="20"/>
              </w:rPr>
            </w:pPr>
            <w:r w:rsidRPr="00A426A6">
              <w:rPr>
                <w:rFonts w:ascii="Cambria" w:hAnsi="Cambria" w:cs="Times New Roman"/>
                <w:sz w:val="20"/>
                <w:szCs w:val="20"/>
              </w:rPr>
              <w:t>Strateji Geliştirme Daire Başkanlığı</w:t>
            </w:r>
          </w:p>
        </w:tc>
      </w:tr>
      <w:tr w:rsidR="00145BDA" w:rsidRPr="00A426A6" w:rsidTr="00093CCA">
        <w:trPr>
          <w:trHeight w:hRule="exact" w:val="255"/>
        </w:trPr>
        <w:tc>
          <w:tcPr>
            <w:tcW w:w="3258" w:type="dxa"/>
            <w:shd w:val="clear" w:color="auto" w:fill="F2F2F2" w:themeFill="background1" w:themeFillShade="F2"/>
          </w:tcPr>
          <w:p w:rsidR="00145BDA" w:rsidRPr="00A426A6" w:rsidRDefault="00145BDA" w:rsidP="00FE1067">
            <w:pPr>
              <w:tabs>
                <w:tab w:val="left" w:pos="2400"/>
              </w:tabs>
              <w:rPr>
                <w:rFonts w:ascii="Cambria" w:hAnsi="Cambria" w:cs="Times New Roman"/>
                <w:b/>
                <w:color w:val="79133E"/>
                <w:sz w:val="20"/>
                <w:szCs w:val="20"/>
              </w:rPr>
            </w:pPr>
            <w:r w:rsidRPr="00A426A6">
              <w:rPr>
                <w:rFonts w:ascii="Cambria" w:hAnsi="Cambria" w:cs="Times New Roman"/>
                <w:b/>
                <w:color w:val="79133E"/>
                <w:sz w:val="20"/>
                <w:szCs w:val="20"/>
              </w:rPr>
              <w:t>Görev Unvanı</w:t>
            </w:r>
          </w:p>
        </w:tc>
        <w:tc>
          <w:tcPr>
            <w:tcW w:w="6945" w:type="dxa"/>
          </w:tcPr>
          <w:p w:rsidR="00145BDA" w:rsidRPr="00A426A6" w:rsidRDefault="00A426A6" w:rsidP="00237669">
            <w:pPr>
              <w:tabs>
                <w:tab w:val="left" w:pos="2400"/>
              </w:tabs>
              <w:rPr>
                <w:rFonts w:ascii="Cambria" w:hAnsi="Cambria" w:cs="Times New Roman"/>
                <w:sz w:val="20"/>
                <w:szCs w:val="20"/>
              </w:rPr>
            </w:pPr>
            <w:r w:rsidRPr="00A426A6">
              <w:rPr>
                <w:rFonts w:ascii="Cambria" w:hAnsi="Cambria"/>
                <w:sz w:val="20"/>
                <w:szCs w:val="20"/>
              </w:rPr>
              <w:t>Personel Maaş Birimi</w:t>
            </w:r>
          </w:p>
        </w:tc>
      </w:tr>
      <w:tr w:rsidR="00176CEC" w:rsidRPr="00A426A6" w:rsidTr="00093CCA">
        <w:trPr>
          <w:trHeight w:hRule="exact" w:val="255"/>
        </w:trPr>
        <w:tc>
          <w:tcPr>
            <w:tcW w:w="3258" w:type="dxa"/>
            <w:shd w:val="clear" w:color="auto" w:fill="F2F2F2" w:themeFill="background1" w:themeFillShade="F2"/>
          </w:tcPr>
          <w:p w:rsidR="00176CEC" w:rsidRPr="00A426A6" w:rsidRDefault="00093CCA" w:rsidP="00FE1067">
            <w:pPr>
              <w:tabs>
                <w:tab w:val="left" w:pos="2400"/>
              </w:tabs>
              <w:rPr>
                <w:rFonts w:ascii="Cambria" w:hAnsi="Cambria" w:cs="Times New Roman"/>
                <w:b/>
                <w:color w:val="79133E"/>
                <w:sz w:val="20"/>
                <w:szCs w:val="20"/>
              </w:rPr>
            </w:pPr>
            <w:r w:rsidRPr="00A426A6">
              <w:rPr>
                <w:rFonts w:ascii="Cambria" w:hAnsi="Cambria" w:cs="Times New Roman"/>
                <w:b/>
                <w:color w:val="79133E"/>
                <w:sz w:val="20"/>
                <w:szCs w:val="20"/>
              </w:rPr>
              <w:t>Görevin Bağlı Bulunduğu Unvan</w:t>
            </w:r>
          </w:p>
        </w:tc>
        <w:tc>
          <w:tcPr>
            <w:tcW w:w="6945" w:type="dxa"/>
          </w:tcPr>
          <w:p w:rsidR="003A319F" w:rsidRPr="00A426A6" w:rsidRDefault="00D73917" w:rsidP="002738BA">
            <w:pPr>
              <w:tabs>
                <w:tab w:val="left" w:pos="2400"/>
              </w:tabs>
              <w:rPr>
                <w:rFonts w:ascii="Cambria" w:hAnsi="Cambria" w:cs="Times New Roman"/>
                <w:sz w:val="20"/>
                <w:szCs w:val="20"/>
              </w:rPr>
            </w:pPr>
            <w:r w:rsidRPr="00A426A6">
              <w:rPr>
                <w:rFonts w:ascii="Cambria" w:hAnsi="Cambria" w:cstheme="minorHAnsi"/>
                <w:sz w:val="20"/>
                <w:szCs w:val="20"/>
              </w:rPr>
              <w:t>Strateji Geliştirme Daire Başkanı</w:t>
            </w:r>
          </w:p>
        </w:tc>
      </w:tr>
      <w:tr w:rsidR="00D3516A" w:rsidRPr="00A426A6" w:rsidTr="00093CCA">
        <w:trPr>
          <w:trHeight w:hRule="exact" w:val="255"/>
        </w:trPr>
        <w:tc>
          <w:tcPr>
            <w:tcW w:w="3258" w:type="dxa"/>
            <w:shd w:val="clear" w:color="auto" w:fill="F2F2F2" w:themeFill="background1" w:themeFillShade="F2"/>
          </w:tcPr>
          <w:p w:rsidR="00D3516A" w:rsidRPr="00A426A6" w:rsidRDefault="00D3516A" w:rsidP="00FE1067">
            <w:pPr>
              <w:tabs>
                <w:tab w:val="left" w:pos="2400"/>
              </w:tabs>
              <w:rPr>
                <w:rFonts w:ascii="Cambria" w:hAnsi="Cambria" w:cs="Times New Roman"/>
                <w:b/>
                <w:color w:val="79133E"/>
                <w:sz w:val="20"/>
                <w:szCs w:val="20"/>
              </w:rPr>
            </w:pPr>
            <w:r w:rsidRPr="00A426A6">
              <w:rPr>
                <w:rFonts w:ascii="Cambria" w:hAnsi="Cambria" w:cs="Times New Roman"/>
                <w:b/>
                <w:color w:val="79133E"/>
                <w:sz w:val="20"/>
                <w:szCs w:val="20"/>
              </w:rPr>
              <w:t>Göreve Bağlı Unvanlar</w:t>
            </w:r>
          </w:p>
        </w:tc>
        <w:tc>
          <w:tcPr>
            <w:tcW w:w="6945" w:type="dxa"/>
          </w:tcPr>
          <w:p w:rsidR="00D3516A" w:rsidRPr="00A426A6"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D73917" w:rsidRDefault="00A426A6" w:rsidP="00C515A8">
            <w:pPr>
              <w:spacing w:after="0"/>
              <w:contextualSpacing/>
              <w:jc w:val="both"/>
              <w:rPr>
                <w:rFonts w:ascii="Cambria" w:hAnsi="Cambria" w:cstheme="minorHAnsi"/>
                <w:sz w:val="20"/>
                <w:szCs w:val="20"/>
              </w:rPr>
            </w:pPr>
            <w:r w:rsidRPr="00A426A6">
              <w:rPr>
                <w:rFonts w:ascii="Cambria" w:hAnsi="Cambria"/>
                <w:sz w:val="20"/>
                <w:szCs w:val="20"/>
              </w:rPr>
              <w:t xml:space="preserve">Üst yönetim tarafından belirlenen amaç ve ilkelere uygun olarak; Strateji Geliştirme Daire Başkanlığının </w:t>
            </w:r>
            <w:proofErr w:type="gramStart"/>
            <w:r w:rsidRPr="00A426A6">
              <w:rPr>
                <w:rFonts w:ascii="Cambria" w:hAnsi="Cambria"/>
                <w:sz w:val="20"/>
                <w:szCs w:val="20"/>
              </w:rPr>
              <w:t>vizyonu</w:t>
            </w:r>
            <w:proofErr w:type="gramEnd"/>
            <w:r w:rsidRPr="00A426A6">
              <w:rPr>
                <w:rFonts w:ascii="Cambria" w:hAnsi="Cambria"/>
                <w:sz w:val="20"/>
                <w:szCs w:val="20"/>
              </w:rPr>
              <w:t>, misyonu doğrultusunda mali kaynakları yönetimi ile ilgili gerekli tüm faaliyetlerin etkinlik ve verimlilik ilkelerine uygun olarak yürütülmesi amacıyla çalışmaları yapmak, planlamak, yönlendirmek, koordine etmek ve denetlemek</w:t>
            </w:r>
            <w: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5030" w:type="pct"/>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A96598">
        <w:trPr>
          <w:trHeight w:hRule="exact" w:val="255"/>
        </w:trPr>
        <w:tc>
          <w:tcPr>
            <w:tcW w:w="5000" w:type="pct"/>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A96598" w:rsidTr="00A96598">
        <w:trPr>
          <w:trHeight w:val="557"/>
        </w:trPr>
        <w:tc>
          <w:tcPr>
            <w:tcW w:w="5000" w:type="pct"/>
            <w:shd w:val="clear" w:color="auto" w:fill="auto"/>
          </w:tcPr>
          <w:p w:rsidR="00280ABC"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bookmarkStart w:id="0" w:name="_GoBack" w:colFirst="0" w:colLast="0"/>
            <w:r w:rsidRPr="00A426A6">
              <w:rPr>
                <w:rFonts w:ascii="Cambria" w:hAnsi="Cambria"/>
                <w:sz w:val="20"/>
                <w:szCs w:val="20"/>
              </w:rPr>
              <w:t>Personel Daire Başkanlığından gelen terfi ve intibak onaylarını KBS sistemine işlemek/ kontrol etmek,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 xml:space="preserve">Sağlık sigortası, tamamlayıcı sağlık sigortası, hayat sigortası gibi sigorta </w:t>
            </w:r>
            <w:proofErr w:type="spellStart"/>
            <w:r w:rsidRPr="00A426A6">
              <w:rPr>
                <w:rFonts w:ascii="Cambria" w:hAnsi="Cambria"/>
                <w:sz w:val="20"/>
                <w:szCs w:val="20"/>
              </w:rPr>
              <w:t>yaptran</w:t>
            </w:r>
            <w:proofErr w:type="spellEnd"/>
            <w:r w:rsidRPr="00A426A6">
              <w:rPr>
                <w:rFonts w:ascii="Cambria" w:hAnsi="Cambria"/>
                <w:sz w:val="20"/>
                <w:szCs w:val="20"/>
              </w:rPr>
              <w:t xml:space="preserve"> personelin dekontlarını incelemek limitler </w:t>
            </w:r>
            <w:proofErr w:type="gramStart"/>
            <w:r w:rsidRPr="00A426A6">
              <w:rPr>
                <w:rFonts w:ascii="Cambria" w:hAnsi="Cambria"/>
                <w:sz w:val="20"/>
                <w:szCs w:val="20"/>
              </w:rPr>
              <w:t>dahilinde</w:t>
            </w:r>
            <w:proofErr w:type="gramEnd"/>
            <w:r w:rsidRPr="00A426A6">
              <w:rPr>
                <w:rFonts w:ascii="Cambria" w:hAnsi="Cambria"/>
                <w:sz w:val="20"/>
                <w:szCs w:val="20"/>
              </w:rPr>
              <w:t xml:space="preserve"> vergiden düşülebilmesi için sisteme girişlerini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Yeni göreve başlayan akademik ve idari personelin maaşa ilişkin bilgilerini KBS sistemine kaydetmek/ kontrol etmek,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Akademik ve idari personeli maaş ile ilgili değişiklikleri (çocuk ve aile bilgileri, eğitim değişikliği vb.) KBS sisteminden kontrolünü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Akademik ve idari personele ait ilgi mevzuatlarında belirtilen sosyal haklar ve yardımlardan kurumca ödenmesi öngörülenlerin (Giyim yardımları, ölüm yardımı vb.) gerekli evraklarını ilgili birimlerden istemek ve ödemesi için gerekli işlemleri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Yabancı uyruklu personelin maaş ödemelerine ilişkin gelen ödeme evraklarını kontrol etmek ve ödenmesi için gerekli işlemleri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Kurum dışına naklen atanan personele ilişkin hazırlanan nakil bildirimlerini kontrol etmek, onaylamak ve KBS sisteminden ilgili personeli nakil konumuna almak,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proofErr w:type="gramStart"/>
            <w:r w:rsidRPr="00A426A6">
              <w:rPr>
                <w:rFonts w:ascii="Cambria" w:hAnsi="Cambria"/>
                <w:sz w:val="20"/>
                <w:szCs w:val="20"/>
              </w:rPr>
              <w:t>657 sayılı Devlet Memurları Kanununun 52 inci maddesine dayanılarak Bakanlar Kurulu Kararı uyarınca zam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itibariyle dağılımını gösteren listelerin kontrolünü yapmak</w:t>
            </w:r>
            <w:r w:rsidRPr="00A426A6">
              <w:rPr>
                <w:rFonts w:ascii="Cambria" w:hAnsi="Cambria"/>
                <w:sz w:val="20"/>
                <w:szCs w:val="20"/>
              </w:rPr>
              <w:t>,</w:t>
            </w:r>
            <w:proofErr w:type="gramEnd"/>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Yan ödeme cetvelleri üzerinde ön mali kontrol işlemlerini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EBYS sisteminde görev alanıyla ilgili yazışmaları takip etmek ve sonuçlandırmak,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Üniversitemiz Akademik ve idari personelinin Bireysel emeklilik işlemlerini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 xml:space="preserve">Akademik ve idari personelin Emekli Keseneklerine İlişkin </w:t>
            </w:r>
            <w:proofErr w:type="spellStart"/>
            <w:r w:rsidRPr="00A426A6">
              <w:rPr>
                <w:rFonts w:ascii="Cambria" w:hAnsi="Cambria"/>
                <w:sz w:val="20"/>
                <w:szCs w:val="20"/>
              </w:rPr>
              <w:t>KBSde</w:t>
            </w:r>
            <w:proofErr w:type="spellEnd"/>
            <w:r w:rsidRPr="00A426A6">
              <w:rPr>
                <w:rFonts w:ascii="Cambria" w:hAnsi="Cambria"/>
                <w:sz w:val="20"/>
                <w:szCs w:val="20"/>
              </w:rPr>
              <w:t xml:space="preserve"> oluşan verileri, kesenek bildirimlerini kontrol etmek ve Yeni Muhasebe sisteminden kanuni süresi içinde ödemesini gerçekleştirmek,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 xml:space="preserve">Üniversitemiz Akademik ve idari personelinin icra, kefalet, sendika, </w:t>
            </w:r>
            <w:proofErr w:type="spellStart"/>
            <w:r w:rsidRPr="00A426A6">
              <w:rPr>
                <w:rFonts w:ascii="Cambria" w:hAnsi="Cambria"/>
                <w:sz w:val="20"/>
                <w:szCs w:val="20"/>
              </w:rPr>
              <w:t>bes</w:t>
            </w:r>
            <w:proofErr w:type="spellEnd"/>
            <w:r w:rsidRPr="00A426A6">
              <w:rPr>
                <w:rFonts w:ascii="Cambria" w:hAnsi="Cambria"/>
                <w:sz w:val="20"/>
                <w:szCs w:val="20"/>
              </w:rPr>
              <w:t xml:space="preserve"> kesintilerini yapmak ilgili birimler ile yazışmalarını gerçekleştirmek,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Sayıştay denetçilerince istenen evraklar düzenlenerek gönderilmesi kontrol sonucunda şahıslara çıkarılan borçların tahsil işlemlerini muhasebeleştirmek,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Görev alanı ile ilgili ön malî kontrol faaliyetini yürütmek,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Üniversitemiz harcama birimlerin maaş, özlük hakları ve fazla çalışma ödemelerinin incelemek, muhasebeleştirme işlemlerini yapmak ve sistem üzerinden onaylamak,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Kişilere yersiz ödenen ve muhasebe birimine bildirilen alacakların sistem üzerinden dosyalarını açmak, açılan kişi borçlarını takip etmek ve tahsil işlemlerini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Sürekli görev yolluğu ödemelerini kontrol etmek ve muhasebe işlemlerini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Harcama birimleri tarafından KBS sistemine yapılan bilgi girişlerini kontrol etmek,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Personel maaş işlemleri ile ilgili banka listelerini sisteme yüklemek,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 xml:space="preserve">İdari görev </w:t>
            </w:r>
            <w:proofErr w:type="gramStart"/>
            <w:r w:rsidRPr="00A426A6">
              <w:rPr>
                <w:rFonts w:ascii="Cambria" w:hAnsi="Cambria"/>
                <w:sz w:val="20"/>
                <w:szCs w:val="20"/>
              </w:rPr>
              <w:t>vekalet</w:t>
            </w:r>
            <w:proofErr w:type="gramEnd"/>
            <w:r w:rsidRPr="00A426A6">
              <w:rPr>
                <w:rFonts w:ascii="Cambria" w:hAnsi="Cambria"/>
                <w:sz w:val="20"/>
                <w:szCs w:val="20"/>
              </w:rPr>
              <w:t xml:space="preserve"> ücret ödemelerinin takibi ve muhasebeleştirilmesi işlemlerini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r w:rsidRPr="00A426A6">
              <w:rPr>
                <w:rFonts w:ascii="Cambria" w:hAnsi="Cambria"/>
                <w:sz w:val="20"/>
                <w:szCs w:val="20"/>
              </w:rPr>
              <w:t xml:space="preserve">Sendika, </w:t>
            </w:r>
            <w:proofErr w:type="gramStart"/>
            <w:r w:rsidRPr="00A426A6">
              <w:rPr>
                <w:rFonts w:ascii="Cambria" w:hAnsi="Cambria"/>
                <w:sz w:val="20"/>
                <w:szCs w:val="20"/>
              </w:rPr>
              <w:t>kefalet , icra</w:t>
            </w:r>
            <w:proofErr w:type="gramEnd"/>
            <w:r w:rsidRPr="00A426A6">
              <w:rPr>
                <w:rFonts w:ascii="Cambria" w:hAnsi="Cambria"/>
                <w:sz w:val="20"/>
                <w:szCs w:val="20"/>
              </w:rPr>
              <w:t>, nafaka vb. emanette bekleyen tutarların kanuni süresi içinde ilgili kurumlara ödeme işlemlerini yapmak,</w:t>
            </w:r>
          </w:p>
          <w:p w:rsidR="00A426A6" w:rsidRPr="00A426A6" w:rsidRDefault="00A426A6" w:rsidP="00A426A6">
            <w:pPr>
              <w:numPr>
                <w:ilvl w:val="0"/>
                <w:numId w:val="8"/>
              </w:numPr>
              <w:spacing w:after="0"/>
              <w:ind w:left="357" w:hanging="357"/>
              <w:contextualSpacing/>
              <w:jc w:val="both"/>
              <w:rPr>
                <w:rFonts w:ascii="Cambria" w:eastAsia="Times New Roman" w:hAnsi="Cambria" w:cstheme="minorHAnsi"/>
                <w:color w:val="000000"/>
                <w:sz w:val="20"/>
                <w:szCs w:val="20"/>
              </w:rPr>
            </w:pPr>
            <w:proofErr w:type="gramStart"/>
            <w:r w:rsidRPr="00A426A6">
              <w:rPr>
                <w:rFonts w:ascii="Cambria" w:hAnsi="Cambria"/>
                <w:sz w:val="20"/>
                <w:szCs w:val="20"/>
              </w:rPr>
              <w:t>Yetkili amirin vereceği diğer görevleri yapmak.</w:t>
            </w:r>
            <w:proofErr w:type="gramEnd"/>
          </w:p>
        </w:tc>
      </w:tr>
      <w:bookmarkEnd w:id="0"/>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C515A8">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lastRenderedPageBreak/>
              <w:t>Yukarıda belirtilen görev ve sorumlulukları gerçe</w:t>
            </w:r>
            <w:r w:rsidR="00C515A8">
              <w:rPr>
                <w:rFonts w:ascii="Cambria" w:hAnsi="Cambria" w:cs="Times New Roman"/>
                <w:sz w:val="20"/>
                <w:szCs w:val="20"/>
              </w:rPr>
              <w:t>kleştirme yetkisine sahip olmak,</w:t>
            </w:r>
          </w:p>
          <w:p w:rsidR="00D3516A" w:rsidRPr="00B87134" w:rsidRDefault="00C4384F" w:rsidP="00C515A8">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73917" w:rsidRPr="00B87134" w:rsidRDefault="00D73917"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Muhasebe yetkilisi olarak atanacakların, 657 sayılı Devlet Memurları Kanununun 48 inci maddesinde belirtilenle</w:t>
            </w:r>
            <w:r w:rsidR="00C515A8">
              <w:rPr>
                <w:rFonts w:ascii="Cambria" w:hAnsi="Cambria" w:cstheme="minorHAnsi"/>
                <w:color w:val="000000"/>
                <w:sz w:val="20"/>
                <w:szCs w:val="20"/>
              </w:rPr>
              <w:t>,</w:t>
            </w:r>
            <w:r w:rsidRPr="00D73917">
              <w:rPr>
                <w:rFonts w:ascii="Cambria" w:hAnsi="Cambria" w:cstheme="minorHAnsi"/>
                <w:color w:val="000000"/>
                <w:sz w:val="20"/>
                <w:szCs w:val="20"/>
              </w:rPr>
              <w:t xml:space="preserve"> </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 xml:space="preserve">En az dört yıllık </w:t>
            </w:r>
            <w:proofErr w:type="gramStart"/>
            <w:r w:rsidRPr="00D73917">
              <w:rPr>
                <w:rFonts w:ascii="Cambria" w:hAnsi="Cambria" w:cstheme="minorHAnsi"/>
                <w:color w:val="000000"/>
                <w:sz w:val="20"/>
                <w:szCs w:val="20"/>
              </w:rPr>
              <w:t>yüksek öğrenim</w:t>
            </w:r>
            <w:proofErr w:type="gramEnd"/>
            <w:r w:rsidRPr="00D73917">
              <w:rPr>
                <w:rFonts w:ascii="Cambria" w:hAnsi="Cambria" w:cstheme="minorHAnsi"/>
                <w:color w:val="000000"/>
                <w:sz w:val="20"/>
                <w:szCs w:val="20"/>
              </w:rPr>
              <w:t xml:space="preserve"> görmüş olmak,</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Kamu idarelerinin muhasebe hizmetlerinde en az dört yıl çalışmış olmak koşuluyla bu idarelerde muhasebe yetkilisi yardımcısı veya eşiti görevlerde bulunmak,</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Muhasebe yetkilisi sertifikası almış olmak,</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themeColor="text1"/>
                <w:sz w:val="20"/>
                <w:szCs w:val="20"/>
              </w:rPr>
            </w:pPr>
            <w:r w:rsidRPr="00D73917">
              <w:rPr>
                <w:rFonts w:ascii="Cambria" w:hAnsi="Cambria" w:cstheme="minorHAnsi"/>
                <w:color w:val="000000" w:themeColor="text1"/>
                <w:sz w:val="20"/>
                <w:szCs w:val="20"/>
              </w:rPr>
              <w:t>Son üç yıl içerisinde olumsuz sicil almamış olmak,</w:t>
            </w:r>
          </w:p>
          <w:p w:rsidR="00D73917"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r w:rsidRPr="00D73917">
              <w:rPr>
                <w:rFonts w:ascii="Cambria" w:hAnsi="Cambria" w:cstheme="minorHAnsi"/>
                <w:color w:val="000000"/>
                <w:sz w:val="20"/>
                <w:szCs w:val="20"/>
              </w:rPr>
              <w:t>Aylıktan kesme ve kademe ilerlemesinin durdurulması cezası almamış olmak,</w:t>
            </w:r>
          </w:p>
          <w:p w:rsidR="00221F13" w:rsidRPr="00D73917" w:rsidRDefault="00D73917" w:rsidP="00C515A8">
            <w:pPr>
              <w:numPr>
                <w:ilvl w:val="0"/>
                <w:numId w:val="2"/>
              </w:numPr>
              <w:spacing w:after="0"/>
              <w:ind w:left="357" w:hanging="357"/>
              <w:contextualSpacing/>
              <w:jc w:val="both"/>
              <w:rPr>
                <w:rFonts w:ascii="Cambria" w:hAnsi="Cambria" w:cstheme="minorHAnsi"/>
                <w:b/>
                <w:color w:val="000000"/>
                <w:sz w:val="20"/>
                <w:szCs w:val="20"/>
              </w:rPr>
            </w:pPr>
            <w:proofErr w:type="gramStart"/>
            <w:r w:rsidRPr="00D73917">
              <w:rPr>
                <w:rFonts w:ascii="Cambria" w:hAnsi="Cambria" w:cstheme="minorHAnsi"/>
                <w:color w:val="000000"/>
                <w:sz w:val="20"/>
                <w:szCs w:val="20"/>
              </w:rPr>
              <w:t>Görevin gerektirdiği bilgi v</w:t>
            </w:r>
            <w:r w:rsidR="00C515A8">
              <w:rPr>
                <w:rFonts w:ascii="Cambria" w:hAnsi="Cambria" w:cstheme="minorHAnsi"/>
                <w:color w:val="000000"/>
                <w:sz w:val="20"/>
                <w:szCs w:val="20"/>
              </w:rPr>
              <w:t>e temsil yeteneğine sahip olmak.</w:t>
            </w:r>
            <w:proofErr w:type="gramEnd"/>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D73917" w:rsidRPr="00CA7FE8" w:rsidRDefault="00D73917"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cs="Times New Roman"/>
                <w:color w:val="000000"/>
                <w:spacing w:val="5"/>
                <w:sz w:val="20"/>
                <w:szCs w:val="20"/>
              </w:rPr>
              <w:t>5018 sayılı Kamu Mali Yönetimi ve Kontrol Kanunu</w:t>
            </w:r>
          </w:p>
          <w:p w:rsidR="00D53349" w:rsidRPr="00CA7FE8" w:rsidRDefault="00D73917"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eastAsia="Times New Roman" w:hAnsi="Cambria" w:cs="Times New Roman"/>
                <w:bCs/>
                <w:color w:val="000000"/>
                <w:sz w:val="20"/>
                <w:szCs w:val="20"/>
              </w:rPr>
              <w:t xml:space="preserve">Muhasebe Yetkililerinin Eğitimi, Sertifika Verilmesi ile Çalışma Usul ve Esasları Hakkında Yönetmelik </w:t>
            </w:r>
          </w:p>
          <w:p w:rsidR="00CA7FE8" w:rsidRPr="00CA7FE8"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2547 Sayılı Yükseköğretim Kanunu</w:t>
            </w:r>
          </w:p>
          <w:p w:rsidR="00CA7FE8" w:rsidRPr="00CA7FE8"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657 Sayılı Devlet Memurları Kanunu</w:t>
            </w:r>
          </w:p>
          <w:p w:rsidR="00CA7FE8" w:rsidRPr="00CA7FE8"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2914 Sayılı Yükseköğretim Personel Kanunu</w:t>
            </w:r>
          </w:p>
          <w:p w:rsidR="00CA7FE8" w:rsidRPr="00CA7FE8"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124 sayılı Yüksek Öğretim Üst Kuruluşları ile Yüksek Öğretim Kurumlarının İdari Teşkilatı Hakkında KHK</w:t>
            </w:r>
          </w:p>
          <w:p w:rsidR="00CA7FE8" w:rsidRPr="00D73917" w:rsidRDefault="00CA7FE8" w:rsidP="00C515A8">
            <w:pPr>
              <w:numPr>
                <w:ilvl w:val="0"/>
                <w:numId w:val="11"/>
              </w:numPr>
              <w:spacing w:after="0"/>
              <w:ind w:left="357" w:hanging="357"/>
              <w:contextualSpacing/>
              <w:jc w:val="both"/>
              <w:rPr>
                <w:rFonts w:ascii="Cambria" w:hAnsi="Cambria" w:cs="Times New Roman"/>
                <w:b/>
                <w:color w:val="000000"/>
                <w:sz w:val="20"/>
                <w:szCs w:val="20"/>
              </w:rPr>
            </w:pPr>
            <w:r w:rsidRPr="00CA7FE8">
              <w:rPr>
                <w:rFonts w:ascii="Cambria" w:hAnsi="Cambria"/>
                <w:sz w:val="20"/>
                <w:szCs w:val="20"/>
              </w:rPr>
              <w:t>6698 Sayılı Kişisel Verilerin Korunması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802" w:rsidRDefault="00BE4802">
      <w:pPr>
        <w:spacing w:after="0" w:line="240" w:lineRule="auto"/>
      </w:pPr>
      <w:r>
        <w:separator/>
      </w:r>
    </w:p>
  </w:endnote>
  <w:endnote w:type="continuationSeparator" w:id="0">
    <w:p w:rsidR="00BE4802" w:rsidRDefault="00BE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A426A6">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A426A6">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802" w:rsidRDefault="00BE4802">
      <w:pPr>
        <w:spacing w:after="0" w:line="240" w:lineRule="auto"/>
      </w:pPr>
      <w:r>
        <w:separator/>
      </w:r>
    </w:p>
  </w:footnote>
  <w:footnote w:type="continuationSeparator" w:id="0">
    <w:p w:rsidR="00BE4802" w:rsidRDefault="00BE4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BE480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836509"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82604"/>
    <w:multiLevelType w:val="hybridMultilevel"/>
    <w:tmpl w:val="441C6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08288B"/>
    <w:multiLevelType w:val="hybridMultilevel"/>
    <w:tmpl w:val="4FAA8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83FCEA88"/>
    <w:lvl w:ilvl="0" w:tplc="27D4530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2386B55"/>
    <w:multiLevelType w:val="hybridMultilevel"/>
    <w:tmpl w:val="EEE2F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0"/>
    <w:lvlOverride w:ilvl="0">
      <w:startOverride w:val="1"/>
    </w:lvlOverride>
  </w:num>
  <w:num w:numId="5">
    <w:abstractNumId w:val="12"/>
  </w:num>
  <w:num w:numId="6">
    <w:abstractNumId w:val="6"/>
  </w:num>
  <w:num w:numId="7">
    <w:abstractNumId w:val="4"/>
  </w:num>
  <w:num w:numId="8">
    <w:abstractNumId w:val="8"/>
  </w:num>
  <w:num w:numId="9">
    <w:abstractNumId w:val="11"/>
  </w:num>
  <w:num w:numId="10">
    <w:abstractNumId w:val="7"/>
  </w:num>
  <w:num w:numId="11">
    <w:abstractNumId w:val="9"/>
  </w:num>
  <w:num w:numId="12">
    <w:abstractNumId w:val="2"/>
  </w:num>
  <w:num w:numId="13">
    <w:abstractNumId w:val="10"/>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7AA"/>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057FC"/>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B54F3"/>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26A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598"/>
    <w:rsid w:val="00A96655"/>
    <w:rsid w:val="00A972C4"/>
    <w:rsid w:val="00AB3C97"/>
    <w:rsid w:val="00AB540E"/>
    <w:rsid w:val="00AB648F"/>
    <w:rsid w:val="00AC0EAD"/>
    <w:rsid w:val="00AC1266"/>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802"/>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15A8"/>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A7FE8"/>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3917"/>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769</Words>
  <Characters>4387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6</cp:revision>
  <cp:lastPrinted>2021-06-19T08:40:00Z</cp:lastPrinted>
  <dcterms:created xsi:type="dcterms:W3CDTF">2021-11-14T15:18:00Z</dcterms:created>
  <dcterms:modified xsi:type="dcterms:W3CDTF">2021-11-19T11:15:00Z</dcterms:modified>
</cp:coreProperties>
</file>